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80" w:rsidRPr="00834F81" w:rsidRDefault="00A62180" w:rsidP="00A62180">
      <w:pPr>
        <w:spacing w:line="240" w:lineRule="auto"/>
        <w:ind w:firstLine="720"/>
        <w:rPr>
          <w:lang w:val="ro-RO"/>
        </w:rPr>
      </w:pPr>
    </w:p>
    <w:p w:rsidR="006E5C9B" w:rsidRPr="00834F81" w:rsidRDefault="006E5C9B" w:rsidP="006E5C9B">
      <w:pPr>
        <w:tabs>
          <w:tab w:val="left" w:pos="3500"/>
        </w:tabs>
        <w:spacing w:line="240" w:lineRule="auto"/>
        <w:jc w:val="center"/>
        <w:rPr>
          <w:rFonts w:ascii="Arial Narrow" w:eastAsia="Calibri" w:hAnsi="Arial Narrow" w:cs="Times New Roman"/>
          <w:b/>
          <w:lang w:val="ro-RO"/>
        </w:rPr>
      </w:pPr>
    </w:p>
    <w:p w:rsidR="006E5C9B" w:rsidRPr="00834F81" w:rsidRDefault="006E5C9B" w:rsidP="006E5C9B">
      <w:pPr>
        <w:tabs>
          <w:tab w:val="left" w:pos="3500"/>
        </w:tabs>
        <w:spacing w:line="240" w:lineRule="auto"/>
        <w:jc w:val="center"/>
        <w:rPr>
          <w:rFonts w:ascii="Arial Narrow" w:eastAsia="Calibri" w:hAnsi="Arial Narrow" w:cs="Times New Roman"/>
          <w:b/>
          <w:lang w:val="ro-RO"/>
        </w:rPr>
      </w:pPr>
    </w:p>
    <w:p w:rsidR="00601E3A" w:rsidRPr="00834F81" w:rsidRDefault="00601E3A" w:rsidP="00AB45F2">
      <w:pPr>
        <w:pStyle w:val="Heading10"/>
        <w:outlineLvl w:val="1"/>
        <w:rPr>
          <w:caps/>
          <w:sz w:val="24"/>
        </w:rPr>
      </w:pPr>
      <w:bookmarkStart w:id="0" w:name="_Toc512586360"/>
      <w:bookmarkStart w:id="1" w:name="_GoBack"/>
      <w:bookmarkEnd w:id="1"/>
      <w:r w:rsidRPr="00834F81">
        <w:rPr>
          <w:sz w:val="36"/>
          <w:szCs w:val="36"/>
        </w:rPr>
        <w:t>SCHEMA CENTRALIZAT</w:t>
      </w:r>
      <w:r w:rsidR="0045225B">
        <w:rPr>
          <w:sz w:val="36"/>
          <w:szCs w:val="36"/>
        </w:rPr>
        <w:t>Ă</w:t>
      </w:r>
      <w:r w:rsidRPr="00834F81">
        <w:rPr>
          <w:sz w:val="36"/>
          <w:szCs w:val="36"/>
        </w:rPr>
        <w:t xml:space="preserve"> A FLUXULUI INFORMAŢIONAL OPERATIV</w:t>
      </w:r>
      <w:r w:rsidR="0046281E">
        <w:rPr>
          <w:sz w:val="36"/>
          <w:szCs w:val="36"/>
        </w:rPr>
        <w:t xml:space="preserve"> </w:t>
      </w:r>
      <w:r w:rsidRPr="00834F81">
        <w:rPr>
          <w:sz w:val="36"/>
          <w:szCs w:val="36"/>
        </w:rPr>
        <w:t>-</w:t>
      </w:r>
      <w:r w:rsidR="0046281E">
        <w:rPr>
          <w:sz w:val="36"/>
          <w:szCs w:val="36"/>
        </w:rPr>
        <w:t xml:space="preserve"> </w:t>
      </w:r>
      <w:r w:rsidRPr="00834F81">
        <w:rPr>
          <w:sz w:val="36"/>
          <w:szCs w:val="36"/>
        </w:rPr>
        <w:t>DECIZIONAL C.L.S.U</w:t>
      </w:r>
      <w:r w:rsidRPr="00834F81">
        <w:rPr>
          <w:b w:val="0"/>
          <w:color w:val="FF0000"/>
          <w:sz w:val="36"/>
          <w:szCs w:val="36"/>
        </w:rPr>
        <w:t>.</w:t>
      </w:r>
      <w:bookmarkEnd w:id="0"/>
    </w:p>
    <w:p w:rsidR="00601E3A" w:rsidRPr="00834F81" w:rsidRDefault="00601E3A" w:rsidP="004E499F">
      <w:pPr>
        <w:pStyle w:val="Heading10"/>
        <w:outlineLvl w:val="0"/>
        <w:rPr>
          <w:caps/>
          <w:sz w:val="24"/>
        </w:rPr>
      </w:pPr>
    </w:p>
    <w:p w:rsidR="00601E3A" w:rsidRPr="00834F81" w:rsidRDefault="00601E3A" w:rsidP="004E499F">
      <w:pPr>
        <w:pStyle w:val="Heading10"/>
        <w:outlineLvl w:val="0"/>
        <w:rPr>
          <w:caps/>
          <w:sz w:val="24"/>
        </w:rPr>
      </w:pPr>
    </w:p>
    <w:p w:rsidR="00601E3A" w:rsidRPr="00834F81" w:rsidRDefault="00CF31B9" w:rsidP="0017733F">
      <w:pPr>
        <w:tabs>
          <w:tab w:val="left" w:pos="20520"/>
        </w:tabs>
        <w:rPr>
          <w:b/>
          <w:caps/>
          <w:lang w:val="ro-RO"/>
        </w:rPr>
      </w:pPr>
      <w:r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30.2pt;margin-top:445.65pt;width:264.5pt;height:87.05pt;z-index:251907072" strokecolor="#c0504d" strokeweight="5pt">
            <v:stroke linestyle="thickThin"/>
            <v:shadow color="#868686"/>
            <v:textbox style="mso-next-textbox:#_x0000_s1160" inset="2mm,,2mm">
              <w:txbxContent>
                <w:p w:rsidR="00CF31B9" w:rsidRDefault="00CF31B9" w:rsidP="005E6860">
                  <w:pPr>
                    <w:jc w:val="center"/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</w:pPr>
                </w:p>
                <w:p w:rsidR="00DB3B0C" w:rsidRPr="00CF31B9" w:rsidRDefault="00DB3B0C" w:rsidP="005E6860">
                  <w:pPr>
                    <w:jc w:val="center"/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</w:pPr>
                  <w:r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>Responsabil</w:t>
                  </w:r>
                  <w:r w:rsidR="00096CF4"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>i cu</w:t>
                  </w:r>
                  <w:r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 xml:space="preserve"> avertizare</w:t>
                  </w:r>
                  <w:r w:rsidR="00096CF4"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>a/</w:t>
                  </w:r>
                  <w:r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>, alarmare</w:t>
                  </w:r>
                  <w:r w:rsidR="00096CF4"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>a populației</w:t>
                  </w:r>
                </w:p>
                <w:p w:rsidR="00096CF4" w:rsidRPr="00CF31B9" w:rsidRDefault="00096CF4" w:rsidP="005E6860">
                  <w:pPr>
                    <w:jc w:val="center"/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</w:pPr>
                </w:p>
                <w:p w:rsidR="00096CF4" w:rsidRPr="00CF31B9" w:rsidRDefault="00096CF4" w:rsidP="005E6860">
                  <w:pPr>
                    <w:jc w:val="center"/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</w:pPr>
                  <w:r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>Responsabili cu a</w:t>
                  </w:r>
                  <w:r w:rsidRPr="00CF31B9">
                    <w:rPr>
                      <w:rFonts w:ascii="Arial Narrow" w:eastAsia="Calibri" w:hAnsi="Arial Narrow" w:cs="Times New Roman"/>
                      <w:b/>
                      <w:color w:val="333333"/>
                      <w:lang w:val="ro-RO"/>
                    </w:rPr>
                    <w:t>cționarea sistemelor de avertizare/alarmare</w:t>
                  </w:r>
                </w:p>
                <w:p w:rsidR="00096CF4" w:rsidRPr="005A5AAE" w:rsidRDefault="00096CF4" w:rsidP="005A5AAE">
                  <w:pPr>
                    <w:jc w:val="left"/>
                    <w:rPr>
                      <w:rFonts w:ascii="Arial Narrow" w:eastAsia="Calibri" w:hAnsi="Arial Narrow" w:cs="Times New Roman"/>
                      <w:color w:val="333333"/>
                      <w:lang w:val="ro-RO"/>
                    </w:rPr>
                  </w:pPr>
                </w:p>
              </w:txbxContent>
            </v:textbox>
          </v:shape>
        </w:pict>
      </w:r>
      <w:r>
        <w:rPr>
          <w:caps/>
          <w:noProof/>
        </w:rPr>
        <w:pict>
          <v:shape id="_x0000_s1169" type="#_x0000_t202" style="position:absolute;left:0;text-align:left;margin-left:653.8pt;margin-top:452.2pt;width:176.2pt;height:68.45pt;z-index:251916288" strokecolor="#c0504d" strokeweight="5pt">
            <v:stroke linestyle="thickThin"/>
            <v:shadow color="#868686"/>
            <v:textbox style="mso-next-textbox:#_x0000_s1169" inset="1.5mm,,1.5mm">
              <w:txbxContent>
                <w:p w:rsidR="00CF31B9" w:rsidRDefault="00CF31B9" w:rsidP="00601E3A">
                  <w:pPr>
                    <w:jc w:val="center"/>
                    <w:rPr>
                      <w:b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jc w:val="center"/>
                    <w:rPr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Celule de urgenţă operatori economici potențial afectați</w:t>
                  </w:r>
                </w:p>
              </w:txbxContent>
            </v:textbox>
          </v:shape>
        </w:pict>
      </w:r>
      <w:r w:rsidR="001A0F0A">
        <w:rPr>
          <w:caps/>
          <w:noProof/>
        </w:rPr>
        <w:pict>
          <v:line id="_x0000_s1196" style="position:absolute;left:0;text-align:left;flip:x;z-index:251936768" from="216.15pt,391.5pt" to="216.15pt,445.6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97" style="position:absolute;left:0;text-align:left;z-index:251937792" from="216.15pt,391.45pt" to="394.15pt,391.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98" style="position:absolute;left:0;text-align:left;z-index:251938816" from="641.35pt,397.9pt" to="743.35pt,397.9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99" style="position:absolute;left:0;text-align:left;z-index:251939840" from="743.85pt,397.9pt" to="743.85pt,450.95pt" strokeweight="3pt">
            <v:stroke startarrow="block" endarrow="block"/>
          </v:line>
        </w:pict>
      </w:r>
      <w:r w:rsidR="001A0F0A">
        <w:rPr>
          <w:caps/>
          <w:noProof/>
        </w:rPr>
        <w:pict>
          <v:group id="_x0000_s1223" style="position:absolute;left:0;text-align:left;margin-left:844.75pt;margin-top:580.45pt;width:255.35pt;height:71.15pt;z-index:251961344" coordorigin="18125,13788" coordsize="5107,1423">
            <v:group id="_x0000_s1178" style="position:absolute;left:18125;top:14073;width:793;height:916" coordorigin="7900,17553" coordsize="612,715">
              <v:line id="_x0000_s1179" style="position:absolute" from="7900,17553" to="8482,17554" strokeweight="3pt">
                <v:stroke startarrow="block" endarrow="block"/>
              </v:line>
              <v:line id="_x0000_s1180" style="position:absolute" from="7930,18267" to="8512,18268" strokecolor="red" strokeweight="3pt">
                <v:stroke dashstyle="dash" endarrow="block"/>
              </v:line>
            </v:group>
            <v:shape id="_x0000_s1176" type="#_x0000_t202" style="position:absolute;left:19073;top:13788;width:4159;height:741" fillcolor="#eeece1">
              <v:textbox style="mso-next-textbox:#_x0000_s1176" inset="2.5mm,.3mm,2.5mm,.3mm">
                <w:txbxContent>
                  <w:p w:rsidR="00DB3B0C" w:rsidRPr="00E3355F" w:rsidRDefault="00DB3B0C" w:rsidP="00601E3A">
                    <w:r w:rsidRPr="00E3355F">
                      <w:rPr>
                        <w:b/>
                      </w:rPr>
                      <w:t>Flux operativ</w:t>
                    </w:r>
                    <w:r w:rsidRPr="00E3355F">
                      <w:t xml:space="preserve">, </w:t>
                    </w:r>
                  </w:p>
                  <w:p w:rsidR="00DB3B0C" w:rsidRPr="00E3355F" w:rsidRDefault="00DB3B0C" w:rsidP="00E64C35">
                    <w:pPr>
                      <w:jc w:val="left"/>
                    </w:pPr>
                    <w:r w:rsidRPr="00E3355F">
                      <w:rPr>
                        <w:b/>
                      </w:rPr>
                      <w:t>Flux Decizional</w:t>
                    </w:r>
                    <w:r w:rsidRPr="00E3355F">
                      <w:t xml:space="preserve"> structură ierarhică  </w:t>
                    </w:r>
                  </w:p>
                  <w:p w:rsidR="00DB3B0C" w:rsidRPr="00E3355F" w:rsidRDefault="00DB3B0C" w:rsidP="00601E3A">
                    <w:r w:rsidRPr="00E3355F">
                      <w:t xml:space="preserve">Nivel Superior </w:t>
                    </w:r>
                    <w:r w:rsidR="001A0F0A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1.5pt;height:7.5pt">
                          <v:imagedata r:id="rId8" o:title=""/>
                        </v:shape>
                      </w:pict>
                    </w:r>
                    <w:r w:rsidRPr="00E3355F">
                      <w:t>Inferior</w:t>
                    </w:r>
                  </w:p>
                </w:txbxContent>
              </v:textbox>
            </v:shape>
            <v:shape id="_x0000_s1177" type="#_x0000_t202" style="position:absolute;left:19073;top:14529;width:4159;height:682" fillcolor="#eeece1">
              <v:textbox style="mso-next-textbox:#_x0000_s1177" inset=",.3mm,,.3mm">
                <w:txbxContent>
                  <w:p w:rsidR="00DB3B0C" w:rsidRPr="00E3355F" w:rsidRDefault="00DB3B0C" w:rsidP="00E64C35">
                    <w:pPr>
                      <w:jc w:val="left"/>
                      <w:rPr>
                        <w:b/>
                      </w:rPr>
                    </w:pPr>
                    <w:r w:rsidRPr="00E3355F">
                      <w:rPr>
                        <w:b/>
                      </w:rPr>
                      <w:t>Flux Atenționari/Avertizari hidrologice și meteorologice</w:t>
                    </w:r>
                  </w:p>
                </w:txbxContent>
              </v:textbox>
            </v:shape>
          </v:group>
        </w:pict>
      </w:r>
      <w:r w:rsidR="001A0F0A">
        <w:rPr>
          <w:caps/>
          <w:noProof/>
        </w:rPr>
        <w:pict>
          <v:line id="_x0000_s1219" style="position:absolute;left:0;text-align:left;z-index:251960320" from="831.6pt,476.9pt" to="870.8pt,476.9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218" style="position:absolute;left:0;text-align:left;flip:x y;z-index:251959296" from="743.35pt,356.15pt" to="870.8pt,356.1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217" style="position:absolute;left:0;text-align:left;z-index:251958272" from="743.85pt,271.8pt" to="743.85pt,358.1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216" style="position:absolute;left:0;text-align:left;z-index:251957248" from="503.35pt,231.55pt" to="546.7pt,231.55pt" strokecolor="red" strokeweight="3pt">
            <v:stroke dashstyle="1 1" startarrow="block" endarrow="block"/>
          </v:line>
        </w:pict>
      </w:r>
      <w:r w:rsidR="001A0F0A">
        <w:rPr>
          <w:caps/>
          <w:noProof/>
        </w:rPr>
        <w:pict>
          <v:line id="_x0000_s1215" style="position:absolute;left:0;text-align:left;z-index:251956224" from="314.8pt,346.75pt" to="394.15pt,346.75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214" style="position:absolute;left:0;text-align:left;z-index:251955200" from="314.8pt,275.95pt" to="314.8pt,374.8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213" style="position:absolute;left:0;text-align:left;z-index:251954176" from="853.5pt,555.15pt" to="892.35pt,555.15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212" style="position:absolute;left:0;text-align:left;z-index:251953152" from="852.3pt,329.1pt" to="891.15pt,329.1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211" style="position:absolute;left:0;text-align:left;flip:x;z-index:251952128" from="869.6pt,515.6pt" to="891.1pt,515.6pt" strokeweight="3pt">
            <v:stroke startarrow="block"/>
          </v:line>
        </w:pict>
      </w:r>
      <w:r w:rsidR="001A0F0A">
        <w:rPr>
          <w:caps/>
          <w:noProof/>
        </w:rPr>
        <w:pict>
          <v:line id="_x0000_s1210" style="position:absolute;left:0;text-align:left;flip:x;z-index:251951104" from="869.55pt,341.15pt" to="891.1pt,341.15pt" strokeweight="3pt">
            <v:stroke startarrow="block"/>
          </v:line>
        </w:pict>
      </w:r>
      <w:r w:rsidR="001A0F0A"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869.6pt;margin-top:341.15pt;width:1.3pt;height:174.45pt;z-index:251950080" o:connectortype="straight" strokeweight="3pt"/>
        </w:pict>
      </w:r>
      <w:r w:rsidR="001A0F0A">
        <w:rPr>
          <w:caps/>
          <w:noProof/>
        </w:rPr>
        <w:pict>
          <v:shape id="_x0000_s1208" type="#_x0000_t32" style="position:absolute;left:0;text-align:left;margin-left:851.9pt;margin-top:329.1pt;width:.4pt;height:226.05pt;z-index:251949056" o:connectortype="straight" strokecolor="red" strokeweight="3pt">
            <v:stroke dashstyle="1 1"/>
          </v:shape>
        </w:pict>
      </w:r>
      <w:r w:rsidR="001A0F0A">
        <w:rPr>
          <w:caps/>
          <w:noProof/>
        </w:rPr>
        <w:pict>
          <v:line id="_x0000_s1207" style="position:absolute;left:0;text-align:left;z-index:251948032" from="849.6pt,136.1pt" to="907.25pt,136.1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206" style="position:absolute;left:0;text-align:left;z-index:251947008" from="809.9pt,228.3pt" to="853.25pt,228.3pt" strokecolor="red" strokeweight="3pt">
            <v:stroke dashstyle="1 1" startarrow="block" endarrow="block"/>
          </v:line>
        </w:pict>
      </w:r>
      <w:r w:rsidR="001A0F0A">
        <w:rPr>
          <w:caps/>
          <w:noProof/>
        </w:rPr>
        <w:pict>
          <v:shape id="_x0000_s1205" type="#_x0000_t32" style="position:absolute;left:0;text-align:left;margin-left:850.35pt;margin-top:57.25pt;width:0;height:174.3pt;z-index:251945984" o:connectortype="straight" strokecolor="red" strokeweight="3pt">
            <v:stroke dashstyle="1 1"/>
          </v:shape>
        </w:pict>
      </w:r>
      <w:r w:rsidR="001A0F0A">
        <w:rPr>
          <w:caps/>
          <w:noProof/>
        </w:rPr>
        <w:pict>
          <v:line id="_x0000_s1204" style="position:absolute;left:0;text-align:left;z-index:251944960" from="849.6pt,200.6pt" to="892.95pt,200.6pt" strokecolor="red" strokeweight="3pt">
            <v:stroke dashstyle="1 1" startarrow="block" endarrow="block"/>
          </v:line>
        </w:pict>
      </w:r>
      <w:r w:rsidR="001A0F0A">
        <w:rPr>
          <w:caps/>
          <w:noProof/>
        </w:rPr>
        <w:pict>
          <v:line id="_x0000_s1203" style="position:absolute;left:0;text-align:left;z-index:251943936" from="852.3pt,57.75pt" to="940.9pt,57.8pt" strokecolor="red" strokeweight="3pt">
            <v:stroke dashstyle="1 1" startarrow="block" endarrow="block"/>
          </v:line>
        </w:pict>
      </w:r>
      <w:r w:rsidR="001A0F0A">
        <w:rPr>
          <w:caps/>
          <w:noProof/>
        </w:rPr>
        <w:pict>
          <v:line id="_x0000_s1202" style="position:absolute;left:0;text-align:left;z-index:251942912" from="992.4pt,66.6pt" to="992.4pt,88.1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201" style="position:absolute;left:0;text-align:left;z-index:251941888" from="992.4pt,155.25pt" to="992.4pt,175.9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200" style="position:absolute;left:0;text-align:left;z-index:251940864" from="809.9pt,248.35pt" to="894.15pt,248.3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95" style="position:absolute;left:0;text-align:left;z-index:251935744" from="478.1pt,422.35pt" to="478.1pt,520.6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94" style="position:absolute;left:0;text-align:left;flip:x;z-index:251934720" from="295.25pt,476.9pt" to="520.25pt,476.9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193" style="position:absolute;left:0;text-align:left;z-index:251933696" from="525.95pt,476.9pt" to="650.95pt,476.9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192" style="position:absolute;left:0;text-align:left;z-index:251932672" from="520.25pt,422.35pt" to="520.25pt,520.65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191" style="position:absolute;left:0;text-align:left;z-index:251931648" from="612.35pt,269.8pt" to="612.35pt,337.8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90" style="position:absolute;left:0;text-align:left;z-index:251930624" from="427.3pt,269.8pt" to="427.3pt,337.8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89" style="position:absolute;left:0;text-align:left;z-index:251929600" from="743.35pt,131.95pt" to="743.35pt,176.4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88" style="position:absolute;left:0;text-align:left;z-index:251928576" from="301pt,132.7pt" to="301pt,177.1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87" style="position:absolute;left:0;text-align:left;z-index:251927552" from="301pt,136.1pt" to="367.25pt,136.1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86" style="position:absolute;left:0;text-align:left;z-index:251926528" from="677.1pt,133.6pt" to="743.35pt,133.6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85" style="position:absolute;left:0;text-align:left;z-index:251925504" from="499.3pt,209pt" to="546.7pt,209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84" style="position:absolute;left:0;text-align:left;flip:y;z-index:251924480" from="691.05pt,269.8pt" to="691.05pt,307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183" style="position:absolute;left:0;text-align:left;z-index:251923456" from="46.1pt,228.3pt" to="238.95pt,228.3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182" style="position:absolute;left:0;text-align:left;z-index:251922432" from="46.1pt,307pt" to="691.05pt,307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181" style="position:absolute;left:0;text-align:left;z-index:251921408" from="38.8pt,88.1pt" to="38.8pt,307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line id="_x0000_s1173" style="position:absolute;left:0;text-align:left;z-index:251920384" from="46.1pt,115.8pt" to="369.8pt,115.8pt" strokecolor="red" strokeweight="3pt">
            <v:stroke dashstyle="dash" endarrow="classic"/>
          </v:line>
        </w:pict>
      </w:r>
      <w:r w:rsidR="001A0F0A">
        <w:rPr>
          <w:caps/>
          <w:noProof/>
        </w:rPr>
        <w:pict>
          <v:shape id="_x0000_s1172" type="#_x0000_t202" style="position:absolute;left:0;text-align:left;margin-left:893.3pt;margin-top:386.65pt;width:201.65pt;height:180.65pt;z-index:251919360" o:allowincell="f" strokecolor="#8064a2" strokeweight="5pt">
            <v:stroke linestyle="thickThin"/>
            <v:shadow color="#868686"/>
            <v:textbox style="mso-next-textbox:#_x0000_s1172">
              <w:txbxContent>
                <w:p w:rsidR="005E6860" w:rsidRDefault="005E6860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5E6860" w:rsidRDefault="005E6860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Agenția pentru Protecția Mediului Ilfov</w:t>
                  </w: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sz w:val="24"/>
                      <w:lang w:val="ro-RO"/>
                    </w:rPr>
                  </w:pPr>
                </w:p>
                <w:p w:rsidR="00096CF4" w:rsidRDefault="00096CF4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Garda de Mediu – CJ Ilfov</w:t>
                  </w: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sz w:val="24"/>
                      <w:lang w:val="ro-RO"/>
                    </w:rPr>
                  </w:pPr>
                </w:p>
                <w:p w:rsidR="00096CF4" w:rsidRDefault="00096CF4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Directia Silvica</w:t>
                  </w: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71" type="#_x0000_t202" style="position:absolute;left:0;text-align:left;margin-left:892.35pt;margin-top:284.05pt;width:202pt;height:88.75pt;z-index:251918336" o:allowincell="f" strokecolor="#8064a2" strokeweight="5pt">
            <v:stroke linestyle="thickThin"/>
            <v:shadow color="#868686"/>
            <v:textbox style="mso-next-textbox:#_x0000_s1171">
              <w:txbxContent>
                <w:p w:rsidR="005E6860" w:rsidRDefault="005E6860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ANIF – Filiala Teritorială Prahova</w:t>
                  </w: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Unitatea de administrare Ilfov</w:t>
                  </w: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70" type="#_x0000_t202" style="position:absolute;left:0;text-align:left;margin-left:894.15pt;margin-top:175.4pt;width:200.8pt;height:85.2pt;z-index:251917312" o:allowincell="f" strokecolor="#4f81bd" strokeweight="5pt">
            <v:stroke linestyle="thickThin"/>
            <v:shadow color="#868686"/>
            <v:textbox style="mso-next-textbox:#_x0000_s1170">
              <w:txbxContent>
                <w:p w:rsidR="005E6860" w:rsidRDefault="005E6860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5E6860" w:rsidRDefault="005E6860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A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B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A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 Arges 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- </w:t>
                  </w: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Vedea</w:t>
                  </w: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Centrul Operativ</w:t>
                  </w: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8" type="#_x0000_t202" style="position:absolute;left:0;text-align:left;margin-left:422.15pt;margin-top:520.65pt;width:155.9pt;height:71.3pt;z-index:251915264" strokecolor="#c0504d" strokeweight="5pt">
            <v:stroke linestyle="thickThin"/>
            <v:shadow color="#868686"/>
            <v:textbox style="mso-next-textbox:#_x0000_s1168" inset="1.5mm,,1.5mm">
              <w:txbxContent>
                <w:p w:rsidR="00CF31B9" w:rsidRDefault="00CF31B9" w:rsidP="00601E3A">
                  <w:pPr>
                    <w:jc w:val="center"/>
                    <w:rPr>
                      <w:b/>
                      <w:lang w:val="ro-RO"/>
                    </w:rPr>
                  </w:pPr>
                </w:p>
                <w:p w:rsidR="00DB3B0C" w:rsidRDefault="00DB3B0C" w:rsidP="00601E3A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Celule de urgenţă alţi deţinători de construcţii hidrotehnice</w:t>
                  </w:r>
                </w:p>
                <w:p w:rsidR="00DB3B0C" w:rsidRDefault="00DB3B0C" w:rsidP="00601E3A">
                  <w:pPr>
                    <w:jc w:val="center"/>
                    <w:rPr>
                      <w:b/>
                      <w:lang w:val="ro-RO"/>
                    </w:rPr>
                  </w:pP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7" type="#_x0000_t202" style="position:absolute;left:0;text-align:left;margin-left:546.7pt;margin-top:175.4pt;width:260.35pt;height:94.4pt;z-index:251914240" o:allowincell="f" strokecolor="#4f81bd" strokeweight="5pt">
            <v:stroke linestyle="thickThin"/>
            <v:shadow color="#868686"/>
            <v:textbox style="mso-next-textbox:#_x0000_s1167" inset="1.5mm,1.07mm,1.5mm,1.07mm">
              <w:txbxContent>
                <w:p w:rsidR="00CF31B9" w:rsidRDefault="00CF31B9" w:rsidP="00601E3A">
                  <w:pPr>
                    <w:pStyle w:val="BodyText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74228B" w:rsidRDefault="00DB3B0C" w:rsidP="00601E3A">
                  <w:pPr>
                    <w:pStyle w:val="BodyText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</w:pP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S</w:t>
                  </w:r>
                  <w:r w:rsidR="00CF31B9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G</w:t>
                  </w:r>
                  <w:r w:rsidR="00CF31B9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A</w:t>
                  </w:r>
                  <w:r w:rsidR="00CF31B9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 xml:space="preserve"> Ilfov-București</w:t>
                  </w:r>
                </w:p>
                <w:p w:rsidR="00DB3B0C" w:rsidRPr="0074228B" w:rsidRDefault="00DB3B0C" w:rsidP="00601E3A">
                  <w:pPr>
                    <w:pStyle w:val="BodyText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Ş</w:t>
                  </w: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ef Grup de Suport Tehnic pentru gestionarea situaţiilor de urgenţ</w:t>
                  </w: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ă</w:t>
                  </w: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 xml:space="preserve"> generate de inundaţii</w:t>
                  </w: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6" type="#_x0000_t202" style="position:absolute;left:0;text-align:left;margin-left:238.95pt;margin-top:175.4pt;width:260.35pt;height:94.4pt;z-index:251913216" o:allowincell="f" strokecolor="#4f81bd" strokeweight="5pt">
            <v:stroke linestyle="thickThin"/>
            <v:shadow color="#868686"/>
            <v:textbox style="mso-next-textbox:#_x0000_s1166" inset="1.5mm,1.07mm,1.5mm,1.07mm">
              <w:txbxContent>
                <w:p w:rsidR="00CF31B9" w:rsidRDefault="00CF31B9" w:rsidP="00601E3A">
                  <w:pPr>
                    <w:pStyle w:val="BodyText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74228B" w:rsidRDefault="00DB3B0C" w:rsidP="00601E3A">
                  <w:pPr>
                    <w:pStyle w:val="BodyText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 xml:space="preserve">I.S.U. </w:t>
                  </w: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„</w:t>
                  </w: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Dealul Spirii</w:t>
                  </w: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”</w:t>
                  </w: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 xml:space="preserve"> București-Ilfov</w:t>
                  </w:r>
                </w:p>
                <w:p w:rsidR="00DB3B0C" w:rsidRPr="0074228B" w:rsidRDefault="00DB3B0C" w:rsidP="00601E3A">
                  <w:pPr>
                    <w:pStyle w:val="BodyText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</w:pPr>
                  <w:r w:rsidRPr="0074228B">
                    <w:rPr>
                      <w:rFonts w:ascii="Arial Narrow" w:hAnsi="Arial Narrow" w:cs="Arial"/>
                      <w:b/>
                      <w:sz w:val="24"/>
                      <w:szCs w:val="24"/>
                      <w:lang w:val="ro-RO"/>
                    </w:rPr>
                    <w:t>Centrul Judeţean de Conducere și Coordonare a Intervenției – Centrul Operațional</w:t>
                  </w: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5" type="#_x0000_t202" style="position:absolute;left:0;text-align:left;margin-left:942.8pt;margin-top:33.4pt;width:117.7pt;height:33.2pt;z-index:251912192" o:allowincell="f" strokecolor="#f79646" strokeweight="5pt">
            <v:stroke linestyle="thickThin"/>
            <v:shadow color="#868686"/>
            <v:textbox style="mso-next-textbox:#_x0000_s1165">
              <w:txbxContent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</w:rPr>
                    <w:t>I.N.H.G.A.</w:t>
                  </w: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4" type="#_x0000_t202" style="position:absolute;left:0;text-align:left;margin-left:-10.75pt;margin-top:33.4pt;width:184pt;height:46.5pt;z-index:251911168" o:allowincell="f" strokecolor="#f79646" strokeweight="5pt">
            <v:stroke linestyle="thickThin"/>
            <v:shadow color="#868686"/>
            <v:textbox style="mso-next-textbox:#_x0000_s1164">
              <w:txbxContent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</w:rPr>
                  </w:pPr>
                  <w:r w:rsidRPr="00393A38">
                    <w:rPr>
                      <w:rFonts w:ascii="Arial" w:hAnsi="Arial" w:cs="Arial"/>
                      <w:b/>
                    </w:rPr>
                    <w:t>CENTRUL METEO REGIONAL MUNTENIA</w:t>
                  </w: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3" type="#_x0000_t202" style="position:absolute;left:0;text-align:left;margin-left:907.25pt;margin-top:88.1pt;width:187.7pt;height:66.5pt;z-index:251910144" o:allowincell="f" strokecolor="#4f81bd" strokeweight="5pt">
            <v:stroke linestyle="thickThin"/>
            <v:shadow color="#868686"/>
            <v:textbox style="mso-next-textbox:#_x0000_s1163">
              <w:txbxContent>
                <w:p w:rsidR="005E6860" w:rsidRDefault="005E6860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DB3B0C" w:rsidRPr="00393A38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A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N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.</w:t>
                  </w: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”</w:t>
                  </w:r>
                  <w:r w:rsidRPr="00393A38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Apele Romane</w:t>
                  </w:r>
                  <w:r w:rsid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”</w:t>
                  </w: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  <w:p w:rsidR="00DB3B0C" w:rsidRPr="003A71D1" w:rsidRDefault="00DB3B0C" w:rsidP="00601E3A">
                  <w:pPr>
                    <w:pStyle w:val="BodyText"/>
                    <w:jc w:val="center"/>
                    <w:rPr>
                      <w:sz w:val="24"/>
                      <w:lang w:val="ro-RO"/>
                    </w:rPr>
                  </w:pP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2" type="#_x0000_t202" style="position:absolute;left:0;text-align:left;margin-left:369.8pt;margin-top:1in;width:305pt;height:84.4pt;z-index:251909120" o:allowincell="f" strokeweight="5pt">
            <v:stroke linestyle="thickThin"/>
            <v:shadow color="#868686"/>
            <v:textbox style="mso-next-textbox:#_x0000_s1162" inset=",2.37mm">
              <w:txbxContent>
                <w:p w:rsidR="00CF31B9" w:rsidRDefault="00CF31B9" w:rsidP="00601E3A">
                  <w:pPr>
                    <w:pStyle w:val="Heading2"/>
                    <w:jc w:val="center"/>
                    <w:rPr>
                      <w:rFonts w:ascii="Arial" w:hAnsi="Arial" w:cs="Arial"/>
                    </w:rPr>
                  </w:pPr>
                  <w:bookmarkStart w:id="2" w:name="_Toc492311299"/>
                  <w:bookmarkStart w:id="3" w:name="_Toc492312258"/>
                  <w:bookmarkStart w:id="4" w:name="_Toc492312314"/>
                  <w:bookmarkStart w:id="5" w:name="_Toc493325408"/>
                  <w:bookmarkStart w:id="6" w:name="_Toc499209022"/>
                  <w:bookmarkStart w:id="7" w:name="_Toc512586361"/>
                </w:p>
                <w:p w:rsidR="00CF31B9" w:rsidRPr="00CF31B9" w:rsidRDefault="00DB3B0C" w:rsidP="00601E3A">
                  <w:pPr>
                    <w:pStyle w:val="Heading2"/>
                    <w:jc w:val="center"/>
                    <w:rPr>
                      <w:rFonts w:ascii="Arial" w:hAnsi="Arial" w:cs="Arial"/>
                    </w:rPr>
                  </w:pPr>
                  <w:r w:rsidRPr="00CF31B9">
                    <w:rPr>
                      <w:rFonts w:ascii="Arial" w:hAnsi="Arial" w:cs="Arial"/>
                    </w:rPr>
                    <w:t xml:space="preserve">COMITETUL JUDEŢEAN </w:t>
                  </w:r>
                </w:p>
                <w:p w:rsidR="00DB3B0C" w:rsidRPr="00CF31B9" w:rsidRDefault="00DB3B0C" w:rsidP="00CF31B9">
                  <w:pPr>
                    <w:pStyle w:val="Heading2"/>
                    <w:jc w:val="center"/>
                    <w:rPr>
                      <w:rFonts w:ascii="Arial" w:hAnsi="Arial" w:cs="Arial"/>
                    </w:rPr>
                  </w:pPr>
                  <w:r w:rsidRPr="00CF31B9">
                    <w:rPr>
                      <w:rFonts w:ascii="Arial" w:hAnsi="Arial" w:cs="Arial"/>
                    </w:rPr>
                    <w:t>PENTRU SITUAȚII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r w:rsidR="00CF31B9" w:rsidRPr="00CF31B9">
                    <w:rPr>
                      <w:rFonts w:ascii="Arial" w:hAnsi="Arial" w:cs="Arial"/>
                    </w:rPr>
                    <w:t xml:space="preserve"> </w:t>
                  </w:r>
                  <w:r w:rsidRPr="00CF31B9">
                    <w:rPr>
                      <w:rFonts w:ascii="Arial" w:hAnsi="Arial" w:cs="Arial"/>
                    </w:rPr>
                    <w:t>DE URGENȚĂ ILFOV</w:t>
                  </w:r>
                </w:p>
              </w:txbxContent>
            </v:textbox>
          </v:shape>
        </w:pict>
      </w:r>
      <w:r w:rsidR="001A0F0A">
        <w:rPr>
          <w:caps/>
          <w:noProof/>
        </w:rPr>
        <w:pict>
          <v:shape id="_x0000_s1161" type="#_x0000_t202" style="position:absolute;left:0;text-align:left;margin-left:394.15pt;margin-top:337.85pt;width:247.2pt;height:80.15pt;z-index:251908096" o:allowincell="f" strokecolor="#9bbb59" strokeweight="5pt">
            <v:stroke linestyle="thickThin"/>
            <v:shadow color="#868686"/>
            <v:textbox style="mso-next-textbox:#_x0000_s1161">
              <w:txbxContent>
                <w:p w:rsidR="00CF31B9" w:rsidRDefault="00CF31B9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lang w:val="ro-RO"/>
                    </w:rPr>
                  </w:pPr>
                </w:p>
                <w:p w:rsidR="00DB3B0C" w:rsidRPr="00CF31B9" w:rsidRDefault="00DB3B0C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lang w:val="ro-RO"/>
                    </w:rPr>
                  </w:pPr>
                  <w:r w:rsidRPr="00CF31B9">
                    <w:rPr>
                      <w:rFonts w:ascii="Arial" w:hAnsi="Arial" w:cs="Arial"/>
                      <w:b/>
                      <w:lang w:val="ro-RO"/>
                    </w:rPr>
                    <w:t xml:space="preserve">COMITETUL LOCAL PENTRU SITUAȚII DE URGENȚĂ </w:t>
                  </w:r>
                </w:p>
                <w:p w:rsidR="00DB3B0C" w:rsidRPr="005E6860" w:rsidRDefault="005E6860" w:rsidP="00601E3A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5E686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Centrul operativ</w:t>
                  </w:r>
                </w:p>
              </w:txbxContent>
            </v:textbox>
          </v:shape>
        </w:pict>
      </w:r>
      <w:r w:rsidR="001A0F0A">
        <w:rPr>
          <w:caps/>
          <w:noProof/>
        </w:rPr>
        <w:pict>
          <v:line id="_x0000_s1159" style="position:absolute;left:0;text-align:left;z-index:251906048" from="520.25pt,159.1pt" to="520.25pt,337.85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58" style="position:absolute;left:0;text-align:left;z-index:251905024" from="297.55pt,504.7pt" to="650.65pt,504.7pt" strokeweight="3pt">
            <v:stroke startarrow="block" endarrow="block"/>
          </v:line>
        </w:pict>
      </w:r>
      <w:r w:rsidR="001A0F0A">
        <w:rPr>
          <w:caps/>
          <w:noProof/>
        </w:rPr>
        <w:pict>
          <v:line id="_x0000_s1157" style="position:absolute;left:0;text-align:left;z-index:251904000" from="314.8pt,374.55pt" to="852.3pt,374.55pt" strokecolor="red" strokeweight="3pt">
            <v:stroke dashstyle="dash" endarrow="classic"/>
          </v:line>
        </w:pict>
      </w:r>
    </w:p>
    <w:sectPr w:rsidR="00601E3A" w:rsidRPr="00834F81" w:rsidSect="00213044">
      <w:footerReference w:type="default" r:id="rId9"/>
      <w:pgSz w:w="23814" w:h="16840" w:orient="landscape" w:code="8"/>
      <w:pgMar w:top="1134" w:right="964" w:bottom="1134" w:left="1304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0A" w:rsidRDefault="001A0F0A" w:rsidP="00DB6C8E">
      <w:pPr>
        <w:spacing w:line="240" w:lineRule="auto"/>
      </w:pPr>
      <w:r>
        <w:separator/>
      </w:r>
    </w:p>
  </w:endnote>
  <w:endnote w:type="continuationSeparator" w:id="0">
    <w:p w:rsidR="001A0F0A" w:rsidRDefault="001A0F0A" w:rsidP="00DB6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0C" w:rsidRDefault="00DB3B0C" w:rsidP="00DB6C8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0A" w:rsidRDefault="001A0F0A" w:rsidP="00DB6C8E">
      <w:pPr>
        <w:spacing w:line="240" w:lineRule="auto"/>
      </w:pPr>
      <w:r>
        <w:separator/>
      </w:r>
    </w:p>
  </w:footnote>
  <w:footnote w:type="continuationSeparator" w:id="0">
    <w:p w:rsidR="001A0F0A" w:rsidRDefault="001A0F0A" w:rsidP="00DB6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51B"/>
    <w:multiLevelType w:val="hybridMultilevel"/>
    <w:tmpl w:val="84F401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D6617"/>
    <w:multiLevelType w:val="hybridMultilevel"/>
    <w:tmpl w:val="EA741D84"/>
    <w:lvl w:ilvl="0" w:tplc="D7E877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D39"/>
    <w:multiLevelType w:val="hybridMultilevel"/>
    <w:tmpl w:val="878A2B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4C7"/>
    <w:multiLevelType w:val="hybridMultilevel"/>
    <w:tmpl w:val="941C5B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7F1B"/>
    <w:multiLevelType w:val="hybridMultilevel"/>
    <w:tmpl w:val="FB6C0D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F69A7"/>
    <w:multiLevelType w:val="hybridMultilevel"/>
    <w:tmpl w:val="024ECA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A40CF"/>
    <w:multiLevelType w:val="hybridMultilevel"/>
    <w:tmpl w:val="EA741D84"/>
    <w:lvl w:ilvl="0" w:tplc="D7E877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795"/>
    <w:multiLevelType w:val="hybridMultilevel"/>
    <w:tmpl w:val="905C867A"/>
    <w:lvl w:ilvl="0" w:tplc="39AE1F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0996"/>
    <w:multiLevelType w:val="hybridMultilevel"/>
    <w:tmpl w:val="863C3EA6"/>
    <w:lvl w:ilvl="0" w:tplc="EC3EA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18DE"/>
    <w:multiLevelType w:val="hybridMultilevel"/>
    <w:tmpl w:val="CFE4D986"/>
    <w:lvl w:ilvl="0" w:tplc="04090009">
      <w:start w:val="1"/>
      <w:numFmt w:val="bullet"/>
      <w:lvlText w:val="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41FC2E25"/>
    <w:multiLevelType w:val="hybridMultilevel"/>
    <w:tmpl w:val="D996E57C"/>
    <w:lvl w:ilvl="0" w:tplc="0409000B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43623B75"/>
    <w:multiLevelType w:val="hybridMultilevel"/>
    <w:tmpl w:val="A07E9BEE"/>
    <w:lvl w:ilvl="0" w:tplc="66E829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B601B"/>
    <w:multiLevelType w:val="hybridMultilevel"/>
    <w:tmpl w:val="9E3033A8"/>
    <w:lvl w:ilvl="0" w:tplc="2B0A9190">
      <w:start w:val="1"/>
      <w:numFmt w:val="decimal"/>
      <w:lvlText w:val="%1."/>
      <w:lvlJc w:val="left"/>
      <w:pPr>
        <w:ind w:left="1329" w:hanging="360"/>
      </w:pPr>
      <w:rPr>
        <w:rFonts w:ascii="Times New Roman" w:eastAsia="Times New Roman" w:hAnsi="Times New Roman" w:cs="Times New Roman"/>
        <w:i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64C81"/>
    <w:multiLevelType w:val="hybridMultilevel"/>
    <w:tmpl w:val="3740D9AA"/>
    <w:lvl w:ilvl="0" w:tplc="D46A8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05E69"/>
    <w:multiLevelType w:val="hybridMultilevel"/>
    <w:tmpl w:val="0D828572"/>
    <w:lvl w:ilvl="0" w:tplc="CF825B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A604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4624E50"/>
    <w:multiLevelType w:val="singleLevel"/>
    <w:tmpl w:val="37983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49732D"/>
    <w:multiLevelType w:val="hybridMultilevel"/>
    <w:tmpl w:val="8C60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190F"/>
    <w:multiLevelType w:val="hybridMultilevel"/>
    <w:tmpl w:val="FE9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740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8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C8E"/>
    <w:rsid w:val="000015BC"/>
    <w:rsid w:val="00003C97"/>
    <w:rsid w:val="0001099D"/>
    <w:rsid w:val="00013D06"/>
    <w:rsid w:val="000145CB"/>
    <w:rsid w:val="000371EE"/>
    <w:rsid w:val="00052813"/>
    <w:rsid w:val="00053DEC"/>
    <w:rsid w:val="00054DD9"/>
    <w:rsid w:val="000559A5"/>
    <w:rsid w:val="00057F63"/>
    <w:rsid w:val="00065078"/>
    <w:rsid w:val="000703F3"/>
    <w:rsid w:val="000706D3"/>
    <w:rsid w:val="00085003"/>
    <w:rsid w:val="00087235"/>
    <w:rsid w:val="00096CF4"/>
    <w:rsid w:val="000B1067"/>
    <w:rsid w:val="000B427B"/>
    <w:rsid w:val="000B7E7B"/>
    <w:rsid w:val="000C571D"/>
    <w:rsid w:val="000C5752"/>
    <w:rsid w:val="000C6824"/>
    <w:rsid w:val="000D2A89"/>
    <w:rsid w:val="000E19EF"/>
    <w:rsid w:val="000E5FFF"/>
    <w:rsid w:val="00103AB3"/>
    <w:rsid w:val="001077C9"/>
    <w:rsid w:val="001122D2"/>
    <w:rsid w:val="0011347F"/>
    <w:rsid w:val="00116A69"/>
    <w:rsid w:val="00121E65"/>
    <w:rsid w:val="00130242"/>
    <w:rsid w:val="00133DFB"/>
    <w:rsid w:val="0013782B"/>
    <w:rsid w:val="001462BA"/>
    <w:rsid w:val="001549C2"/>
    <w:rsid w:val="00154E64"/>
    <w:rsid w:val="00161812"/>
    <w:rsid w:val="001626B8"/>
    <w:rsid w:val="0016282A"/>
    <w:rsid w:val="00163DA1"/>
    <w:rsid w:val="001667C5"/>
    <w:rsid w:val="00176564"/>
    <w:rsid w:val="0017733F"/>
    <w:rsid w:val="00181123"/>
    <w:rsid w:val="00181674"/>
    <w:rsid w:val="0018232E"/>
    <w:rsid w:val="001876D9"/>
    <w:rsid w:val="00197CD6"/>
    <w:rsid w:val="001A0F0A"/>
    <w:rsid w:val="001A1FC1"/>
    <w:rsid w:val="001A7418"/>
    <w:rsid w:val="001C516C"/>
    <w:rsid w:val="001D161E"/>
    <w:rsid w:val="001E2199"/>
    <w:rsid w:val="001E36B3"/>
    <w:rsid w:val="001E444D"/>
    <w:rsid w:val="001F541F"/>
    <w:rsid w:val="001F59F1"/>
    <w:rsid w:val="001F69B0"/>
    <w:rsid w:val="00202E8F"/>
    <w:rsid w:val="00207677"/>
    <w:rsid w:val="00212CAD"/>
    <w:rsid w:val="00213044"/>
    <w:rsid w:val="00213DD8"/>
    <w:rsid w:val="00222EC1"/>
    <w:rsid w:val="0022331E"/>
    <w:rsid w:val="00226F84"/>
    <w:rsid w:val="002308F3"/>
    <w:rsid w:val="002321B9"/>
    <w:rsid w:val="00232843"/>
    <w:rsid w:val="00235048"/>
    <w:rsid w:val="002351B3"/>
    <w:rsid w:val="00250DF7"/>
    <w:rsid w:val="002513AD"/>
    <w:rsid w:val="002518BF"/>
    <w:rsid w:val="002522A2"/>
    <w:rsid w:val="002542F1"/>
    <w:rsid w:val="002556E2"/>
    <w:rsid w:val="002559D1"/>
    <w:rsid w:val="00264189"/>
    <w:rsid w:val="00267153"/>
    <w:rsid w:val="00276BDB"/>
    <w:rsid w:val="00286DA3"/>
    <w:rsid w:val="00290FA1"/>
    <w:rsid w:val="002A1048"/>
    <w:rsid w:val="002A16E5"/>
    <w:rsid w:val="002A44B5"/>
    <w:rsid w:val="002B1EB9"/>
    <w:rsid w:val="002D1C40"/>
    <w:rsid w:val="002D2841"/>
    <w:rsid w:val="002E7684"/>
    <w:rsid w:val="002F23E1"/>
    <w:rsid w:val="002F3904"/>
    <w:rsid w:val="002F5E58"/>
    <w:rsid w:val="003001E5"/>
    <w:rsid w:val="00323259"/>
    <w:rsid w:val="00323E03"/>
    <w:rsid w:val="00333C45"/>
    <w:rsid w:val="003460FF"/>
    <w:rsid w:val="00347588"/>
    <w:rsid w:val="00352C8F"/>
    <w:rsid w:val="0035305B"/>
    <w:rsid w:val="00363F19"/>
    <w:rsid w:val="00367BA6"/>
    <w:rsid w:val="00376203"/>
    <w:rsid w:val="0038793F"/>
    <w:rsid w:val="00393555"/>
    <w:rsid w:val="00393A38"/>
    <w:rsid w:val="003A17DA"/>
    <w:rsid w:val="003A3C2E"/>
    <w:rsid w:val="003B06F9"/>
    <w:rsid w:val="003B0C43"/>
    <w:rsid w:val="003B6048"/>
    <w:rsid w:val="003B70FF"/>
    <w:rsid w:val="003C5946"/>
    <w:rsid w:val="003D04F6"/>
    <w:rsid w:val="003D27DD"/>
    <w:rsid w:val="003E07FB"/>
    <w:rsid w:val="003E62CD"/>
    <w:rsid w:val="003F37F5"/>
    <w:rsid w:val="003F5B02"/>
    <w:rsid w:val="00400690"/>
    <w:rsid w:val="00405CBC"/>
    <w:rsid w:val="004153B0"/>
    <w:rsid w:val="0041546E"/>
    <w:rsid w:val="00416487"/>
    <w:rsid w:val="00422FCE"/>
    <w:rsid w:val="004303B5"/>
    <w:rsid w:val="00432045"/>
    <w:rsid w:val="004321B7"/>
    <w:rsid w:val="004339F5"/>
    <w:rsid w:val="0044380B"/>
    <w:rsid w:val="004457CC"/>
    <w:rsid w:val="0045225B"/>
    <w:rsid w:val="004566CB"/>
    <w:rsid w:val="0046072A"/>
    <w:rsid w:val="0046281E"/>
    <w:rsid w:val="0046283E"/>
    <w:rsid w:val="00462EA2"/>
    <w:rsid w:val="0047163D"/>
    <w:rsid w:val="004721BE"/>
    <w:rsid w:val="004765F1"/>
    <w:rsid w:val="004908CC"/>
    <w:rsid w:val="004C389D"/>
    <w:rsid w:val="004C6CEB"/>
    <w:rsid w:val="004C7785"/>
    <w:rsid w:val="004D10BF"/>
    <w:rsid w:val="004D549D"/>
    <w:rsid w:val="004E3B5A"/>
    <w:rsid w:val="004E499F"/>
    <w:rsid w:val="00503061"/>
    <w:rsid w:val="00510B88"/>
    <w:rsid w:val="00515271"/>
    <w:rsid w:val="00517AC6"/>
    <w:rsid w:val="00530FD8"/>
    <w:rsid w:val="00541E95"/>
    <w:rsid w:val="00543872"/>
    <w:rsid w:val="00544355"/>
    <w:rsid w:val="005453C4"/>
    <w:rsid w:val="00552265"/>
    <w:rsid w:val="005619BA"/>
    <w:rsid w:val="00562443"/>
    <w:rsid w:val="00563973"/>
    <w:rsid w:val="005659BF"/>
    <w:rsid w:val="005770BB"/>
    <w:rsid w:val="00592CAD"/>
    <w:rsid w:val="00595F0F"/>
    <w:rsid w:val="005A5AAE"/>
    <w:rsid w:val="005A7252"/>
    <w:rsid w:val="005A7F95"/>
    <w:rsid w:val="005B04D2"/>
    <w:rsid w:val="005B4121"/>
    <w:rsid w:val="005C5BC9"/>
    <w:rsid w:val="005C7D4C"/>
    <w:rsid w:val="005E6860"/>
    <w:rsid w:val="005F2562"/>
    <w:rsid w:val="005F3000"/>
    <w:rsid w:val="005F46BA"/>
    <w:rsid w:val="005F4FFF"/>
    <w:rsid w:val="00601E3A"/>
    <w:rsid w:val="006149FB"/>
    <w:rsid w:val="00622238"/>
    <w:rsid w:val="006236FE"/>
    <w:rsid w:val="00633F41"/>
    <w:rsid w:val="00640FFB"/>
    <w:rsid w:val="00652709"/>
    <w:rsid w:val="0065405D"/>
    <w:rsid w:val="00664D40"/>
    <w:rsid w:val="006656F5"/>
    <w:rsid w:val="00673F06"/>
    <w:rsid w:val="00675EB6"/>
    <w:rsid w:val="0067734B"/>
    <w:rsid w:val="00684136"/>
    <w:rsid w:val="00693006"/>
    <w:rsid w:val="0069654F"/>
    <w:rsid w:val="0069702A"/>
    <w:rsid w:val="006B1361"/>
    <w:rsid w:val="006B373E"/>
    <w:rsid w:val="006C357C"/>
    <w:rsid w:val="006D183D"/>
    <w:rsid w:val="006E5C9B"/>
    <w:rsid w:val="006E5E91"/>
    <w:rsid w:val="006E642A"/>
    <w:rsid w:val="006F2646"/>
    <w:rsid w:val="00703888"/>
    <w:rsid w:val="0070420E"/>
    <w:rsid w:val="00705778"/>
    <w:rsid w:val="00707319"/>
    <w:rsid w:val="00714959"/>
    <w:rsid w:val="00717281"/>
    <w:rsid w:val="00721438"/>
    <w:rsid w:val="0072174E"/>
    <w:rsid w:val="00723286"/>
    <w:rsid w:val="0073085E"/>
    <w:rsid w:val="007308CC"/>
    <w:rsid w:val="00731604"/>
    <w:rsid w:val="00735818"/>
    <w:rsid w:val="00737A4A"/>
    <w:rsid w:val="00741A38"/>
    <w:rsid w:val="0074228B"/>
    <w:rsid w:val="00753ABF"/>
    <w:rsid w:val="00756453"/>
    <w:rsid w:val="00757857"/>
    <w:rsid w:val="00764692"/>
    <w:rsid w:val="00766CB7"/>
    <w:rsid w:val="00770746"/>
    <w:rsid w:val="00776838"/>
    <w:rsid w:val="00791DB5"/>
    <w:rsid w:val="00794C47"/>
    <w:rsid w:val="00795C69"/>
    <w:rsid w:val="007A43CC"/>
    <w:rsid w:val="007C1D59"/>
    <w:rsid w:val="007C50E8"/>
    <w:rsid w:val="007E638A"/>
    <w:rsid w:val="007F70B4"/>
    <w:rsid w:val="008055A6"/>
    <w:rsid w:val="00811F8E"/>
    <w:rsid w:val="00822E90"/>
    <w:rsid w:val="0082460D"/>
    <w:rsid w:val="00827692"/>
    <w:rsid w:val="008304DF"/>
    <w:rsid w:val="00834F81"/>
    <w:rsid w:val="00837662"/>
    <w:rsid w:val="00837E27"/>
    <w:rsid w:val="008408B7"/>
    <w:rsid w:val="00841A40"/>
    <w:rsid w:val="0084335F"/>
    <w:rsid w:val="00844E95"/>
    <w:rsid w:val="00855643"/>
    <w:rsid w:val="00862142"/>
    <w:rsid w:val="008648B4"/>
    <w:rsid w:val="00880B58"/>
    <w:rsid w:val="00883E35"/>
    <w:rsid w:val="00884247"/>
    <w:rsid w:val="008857D0"/>
    <w:rsid w:val="00887745"/>
    <w:rsid w:val="00887BA4"/>
    <w:rsid w:val="00896575"/>
    <w:rsid w:val="008974B1"/>
    <w:rsid w:val="008A065B"/>
    <w:rsid w:val="008A222B"/>
    <w:rsid w:val="008A3F5B"/>
    <w:rsid w:val="008B4F23"/>
    <w:rsid w:val="008B5399"/>
    <w:rsid w:val="008C23D4"/>
    <w:rsid w:val="008C7859"/>
    <w:rsid w:val="008D15B7"/>
    <w:rsid w:val="008F029A"/>
    <w:rsid w:val="008F0C0D"/>
    <w:rsid w:val="008F13F7"/>
    <w:rsid w:val="0091193F"/>
    <w:rsid w:val="00914236"/>
    <w:rsid w:val="0092372D"/>
    <w:rsid w:val="00930517"/>
    <w:rsid w:val="00930805"/>
    <w:rsid w:val="00932966"/>
    <w:rsid w:val="0094153C"/>
    <w:rsid w:val="00942881"/>
    <w:rsid w:val="0095308C"/>
    <w:rsid w:val="00962C66"/>
    <w:rsid w:val="00965545"/>
    <w:rsid w:val="00976A25"/>
    <w:rsid w:val="00981661"/>
    <w:rsid w:val="00983BE3"/>
    <w:rsid w:val="009A012D"/>
    <w:rsid w:val="009A0A0A"/>
    <w:rsid w:val="009A6047"/>
    <w:rsid w:val="009A67C2"/>
    <w:rsid w:val="009A77E0"/>
    <w:rsid w:val="009B0EAD"/>
    <w:rsid w:val="009B1773"/>
    <w:rsid w:val="009B463A"/>
    <w:rsid w:val="009B52B9"/>
    <w:rsid w:val="009C32D3"/>
    <w:rsid w:val="009E324F"/>
    <w:rsid w:val="009E7D23"/>
    <w:rsid w:val="009F0C5D"/>
    <w:rsid w:val="009F448F"/>
    <w:rsid w:val="00A03F9B"/>
    <w:rsid w:val="00A104BF"/>
    <w:rsid w:val="00A12582"/>
    <w:rsid w:val="00A13340"/>
    <w:rsid w:val="00A17194"/>
    <w:rsid w:val="00A22339"/>
    <w:rsid w:val="00A27C5E"/>
    <w:rsid w:val="00A31BE8"/>
    <w:rsid w:val="00A32338"/>
    <w:rsid w:val="00A358DF"/>
    <w:rsid w:val="00A42104"/>
    <w:rsid w:val="00A42F7C"/>
    <w:rsid w:val="00A44827"/>
    <w:rsid w:val="00A56208"/>
    <w:rsid w:val="00A62180"/>
    <w:rsid w:val="00A702BF"/>
    <w:rsid w:val="00A73CBD"/>
    <w:rsid w:val="00A7783A"/>
    <w:rsid w:val="00A81191"/>
    <w:rsid w:val="00A86F74"/>
    <w:rsid w:val="00AA01CD"/>
    <w:rsid w:val="00AA1A5A"/>
    <w:rsid w:val="00AA3098"/>
    <w:rsid w:val="00AA6D0A"/>
    <w:rsid w:val="00AB45F2"/>
    <w:rsid w:val="00AC4011"/>
    <w:rsid w:val="00AC49C1"/>
    <w:rsid w:val="00AC5DDC"/>
    <w:rsid w:val="00AD2102"/>
    <w:rsid w:val="00AD2A65"/>
    <w:rsid w:val="00AD7941"/>
    <w:rsid w:val="00AE2C1D"/>
    <w:rsid w:val="00AE30BA"/>
    <w:rsid w:val="00AE6421"/>
    <w:rsid w:val="00AF1C4D"/>
    <w:rsid w:val="00AF5035"/>
    <w:rsid w:val="00AF6D26"/>
    <w:rsid w:val="00B0281B"/>
    <w:rsid w:val="00B12F6C"/>
    <w:rsid w:val="00B17410"/>
    <w:rsid w:val="00B31012"/>
    <w:rsid w:val="00B3659C"/>
    <w:rsid w:val="00B409C7"/>
    <w:rsid w:val="00B50C81"/>
    <w:rsid w:val="00B52BD2"/>
    <w:rsid w:val="00B66041"/>
    <w:rsid w:val="00B66972"/>
    <w:rsid w:val="00B70729"/>
    <w:rsid w:val="00B75723"/>
    <w:rsid w:val="00B76B50"/>
    <w:rsid w:val="00B80E3F"/>
    <w:rsid w:val="00B87537"/>
    <w:rsid w:val="00B91AA6"/>
    <w:rsid w:val="00B91E6A"/>
    <w:rsid w:val="00B94147"/>
    <w:rsid w:val="00B95470"/>
    <w:rsid w:val="00BA405D"/>
    <w:rsid w:val="00BB1BFE"/>
    <w:rsid w:val="00BB4B51"/>
    <w:rsid w:val="00BB5A59"/>
    <w:rsid w:val="00BC34AF"/>
    <w:rsid w:val="00BE45FB"/>
    <w:rsid w:val="00BF5B55"/>
    <w:rsid w:val="00BF78F5"/>
    <w:rsid w:val="00C0546B"/>
    <w:rsid w:val="00C05D31"/>
    <w:rsid w:val="00C06984"/>
    <w:rsid w:val="00C1787F"/>
    <w:rsid w:val="00C24884"/>
    <w:rsid w:val="00C248FB"/>
    <w:rsid w:val="00C25CD8"/>
    <w:rsid w:val="00C26D08"/>
    <w:rsid w:val="00C3420E"/>
    <w:rsid w:val="00C359B8"/>
    <w:rsid w:val="00C423E5"/>
    <w:rsid w:val="00C46146"/>
    <w:rsid w:val="00C6156D"/>
    <w:rsid w:val="00C65C4C"/>
    <w:rsid w:val="00C72D82"/>
    <w:rsid w:val="00C77898"/>
    <w:rsid w:val="00C80CAC"/>
    <w:rsid w:val="00C83E2A"/>
    <w:rsid w:val="00C84BE2"/>
    <w:rsid w:val="00C92091"/>
    <w:rsid w:val="00CA27AA"/>
    <w:rsid w:val="00CB6065"/>
    <w:rsid w:val="00CC19E9"/>
    <w:rsid w:val="00CC2E4C"/>
    <w:rsid w:val="00CC5FAE"/>
    <w:rsid w:val="00CC63B1"/>
    <w:rsid w:val="00CD02D7"/>
    <w:rsid w:val="00CD3848"/>
    <w:rsid w:val="00CD4277"/>
    <w:rsid w:val="00CD7656"/>
    <w:rsid w:val="00CE0518"/>
    <w:rsid w:val="00CE0BF1"/>
    <w:rsid w:val="00CE2167"/>
    <w:rsid w:val="00CE37E9"/>
    <w:rsid w:val="00CF31B9"/>
    <w:rsid w:val="00D1243E"/>
    <w:rsid w:val="00D15AC5"/>
    <w:rsid w:val="00D167D7"/>
    <w:rsid w:val="00D25285"/>
    <w:rsid w:val="00D26E06"/>
    <w:rsid w:val="00D32D25"/>
    <w:rsid w:val="00D3396D"/>
    <w:rsid w:val="00D53DA8"/>
    <w:rsid w:val="00D56CA5"/>
    <w:rsid w:val="00D610A3"/>
    <w:rsid w:val="00D626CD"/>
    <w:rsid w:val="00D65BFB"/>
    <w:rsid w:val="00D70D6D"/>
    <w:rsid w:val="00D85583"/>
    <w:rsid w:val="00D87057"/>
    <w:rsid w:val="00DA2377"/>
    <w:rsid w:val="00DB3B0C"/>
    <w:rsid w:val="00DB4B0B"/>
    <w:rsid w:val="00DB5D79"/>
    <w:rsid w:val="00DB6C8E"/>
    <w:rsid w:val="00DE0365"/>
    <w:rsid w:val="00DE7048"/>
    <w:rsid w:val="00DF42B5"/>
    <w:rsid w:val="00DF6390"/>
    <w:rsid w:val="00E000DF"/>
    <w:rsid w:val="00E05181"/>
    <w:rsid w:val="00E1571F"/>
    <w:rsid w:val="00E16C1C"/>
    <w:rsid w:val="00E177A2"/>
    <w:rsid w:val="00E20306"/>
    <w:rsid w:val="00E213D4"/>
    <w:rsid w:val="00E26963"/>
    <w:rsid w:val="00E30219"/>
    <w:rsid w:val="00E4424D"/>
    <w:rsid w:val="00E46EBB"/>
    <w:rsid w:val="00E5070E"/>
    <w:rsid w:val="00E64C35"/>
    <w:rsid w:val="00E67A54"/>
    <w:rsid w:val="00E7469C"/>
    <w:rsid w:val="00E861D8"/>
    <w:rsid w:val="00E9247A"/>
    <w:rsid w:val="00E97026"/>
    <w:rsid w:val="00EA09F7"/>
    <w:rsid w:val="00EA0B62"/>
    <w:rsid w:val="00EA4417"/>
    <w:rsid w:val="00EA7298"/>
    <w:rsid w:val="00EA763B"/>
    <w:rsid w:val="00EB0F33"/>
    <w:rsid w:val="00EB109A"/>
    <w:rsid w:val="00EB4C3C"/>
    <w:rsid w:val="00EC1A21"/>
    <w:rsid w:val="00ED46F9"/>
    <w:rsid w:val="00ED515D"/>
    <w:rsid w:val="00ED7985"/>
    <w:rsid w:val="00EE2236"/>
    <w:rsid w:val="00EE51C0"/>
    <w:rsid w:val="00EF4966"/>
    <w:rsid w:val="00F06CBA"/>
    <w:rsid w:val="00F076F5"/>
    <w:rsid w:val="00F1003D"/>
    <w:rsid w:val="00F12EF2"/>
    <w:rsid w:val="00F239AA"/>
    <w:rsid w:val="00F32728"/>
    <w:rsid w:val="00F32818"/>
    <w:rsid w:val="00F379EB"/>
    <w:rsid w:val="00F44586"/>
    <w:rsid w:val="00F4580C"/>
    <w:rsid w:val="00F5401B"/>
    <w:rsid w:val="00F55074"/>
    <w:rsid w:val="00F56687"/>
    <w:rsid w:val="00F62FFB"/>
    <w:rsid w:val="00F74EAC"/>
    <w:rsid w:val="00F977F6"/>
    <w:rsid w:val="00FA1983"/>
    <w:rsid w:val="00FA31BC"/>
    <w:rsid w:val="00FB1210"/>
    <w:rsid w:val="00FB5493"/>
    <w:rsid w:val="00FB654E"/>
    <w:rsid w:val="00FC1C2A"/>
    <w:rsid w:val="00FC432B"/>
    <w:rsid w:val="00FC7FD8"/>
    <w:rsid w:val="00FE02F6"/>
    <w:rsid w:val="00FE18FC"/>
    <w:rsid w:val="00FE5894"/>
    <w:rsid w:val="00FF50A7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08"/>
        <o:r id="V:Rule2" type="connector" idref="#_x0000_s1209"/>
        <o:r id="V:Rule3" type="connector" idref="#_x0000_s1205"/>
      </o:rules>
    </o:shapelayout>
  </w:shapeDefaults>
  <w:decimalSymbol w:val="."/>
  <w:listSeparator w:val=","/>
  <w15:docId w15:val="{D264959F-7A45-4844-B35A-324D82A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8E"/>
  </w:style>
  <w:style w:type="paragraph" w:styleId="Heading1">
    <w:name w:val="heading 1"/>
    <w:aliases w:val="Heading 01"/>
    <w:basedOn w:val="NoSpacing"/>
    <w:next w:val="NoSpacing"/>
    <w:link w:val="Heading1Char"/>
    <w:uiPriority w:val="9"/>
    <w:rsid w:val="00D56CA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50DF7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C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C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8E"/>
  </w:style>
  <w:style w:type="paragraph" w:styleId="Footer">
    <w:name w:val="footer"/>
    <w:basedOn w:val="Normal"/>
    <w:link w:val="FooterChar"/>
    <w:unhideWhenUsed/>
    <w:rsid w:val="00DB6C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B6C8E"/>
  </w:style>
  <w:style w:type="paragraph" w:styleId="BalloonText">
    <w:name w:val="Balloon Text"/>
    <w:basedOn w:val="Normal"/>
    <w:link w:val="BalloonTextChar"/>
    <w:uiPriority w:val="99"/>
    <w:semiHidden/>
    <w:unhideWhenUsed/>
    <w:rsid w:val="006B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8753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B87537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2Char">
    <w:name w:val="Heading 2 Char"/>
    <w:basedOn w:val="DefaultParagraphFont"/>
    <w:link w:val="Heading2"/>
    <w:rsid w:val="00250DF7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ListParagraph">
    <w:name w:val="List Paragraph"/>
    <w:basedOn w:val="Normal"/>
    <w:qFormat/>
    <w:rsid w:val="00AC49C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aliases w:val="Heading 01 Char"/>
    <w:basedOn w:val="DefaultParagraphFont"/>
    <w:link w:val="Heading1"/>
    <w:uiPriority w:val="9"/>
    <w:rsid w:val="00D56CA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D46F9"/>
    <w:pPr>
      <w:tabs>
        <w:tab w:val="right" w:leader="underscore" w:pos="9633"/>
      </w:tabs>
      <w:spacing w:before="120"/>
      <w:jc w:val="left"/>
    </w:pPr>
    <w:rPr>
      <w:rFonts w:ascii="Arial Narrow" w:hAnsi="Arial Narrow"/>
      <w:b/>
      <w:bCs/>
      <w:i/>
      <w:iC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409C7"/>
    <w:pPr>
      <w:tabs>
        <w:tab w:val="right" w:leader="underscore" w:pos="9633"/>
      </w:tabs>
      <w:spacing w:before="120"/>
      <w:ind w:left="240"/>
      <w:jc w:val="left"/>
    </w:pPr>
    <w:rPr>
      <w:rFonts w:ascii="Arial Narrow" w:hAnsi="Arial Narrow" w:cs="Arial"/>
      <w:b/>
      <w:bCs/>
      <w:cap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422FCE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2FCE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2FCE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2FCE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2FCE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2FCE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2FCE"/>
    <w:pPr>
      <w:ind w:left="192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2FCE"/>
    <w:rPr>
      <w:color w:val="0000FF" w:themeColor="hyperlink"/>
      <w:u w:val="single"/>
    </w:rPr>
  </w:style>
  <w:style w:type="paragraph" w:customStyle="1" w:styleId="Heading10">
    <w:name w:val="Heading1"/>
    <w:basedOn w:val="NoSpacing"/>
    <w:qFormat/>
    <w:rsid w:val="00250DF7"/>
    <w:pPr>
      <w:jc w:val="center"/>
    </w:pPr>
    <w:rPr>
      <w:b/>
      <w:sz w:val="28"/>
      <w:lang w:val="ro-RO"/>
    </w:rPr>
  </w:style>
  <w:style w:type="paragraph" w:styleId="NoSpacing">
    <w:name w:val="No Spacing"/>
    <w:uiPriority w:val="1"/>
    <w:qFormat/>
    <w:rsid w:val="00D56CA5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E7B"/>
    <w:pPr>
      <w:spacing w:line="276" w:lineRule="auto"/>
      <w:jc w:val="left"/>
      <w:outlineLvl w:val="9"/>
    </w:pPr>
    <w:rPr>
      <w:rFonts w:asciiTheme="majorHAnsi" w:hAnsiTheme="maj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ol1">
    <w:name w:val="articol1"/>
    <w:basedOn w:val="DefaultParagraphFont"/>
    <w:rsid w:val="00290FA1"/>
    <w:rPr>
      <w:b/>
      <w:bCs/>
      <w:color w:val="0095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0C8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A437-F3D4-4BAC-8052-73C8D7C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Florina Georgeta BIRSAN</cp:lastModifiedBy>
  <cp:revision>15</cp:revision>
  <cp:lastPrinted>2020-01-10T10:22:00Z</cp:lastPrinted>
  <dcterms:created xsi:type="dcterms:W3CDTF">2018-04-27T07:52:00Z</dcterms:created>
  <dcterms:modified xsi:type="dcterms:W3CDTF">2020-01-10T10:25:00Z</dcterms:modified>
</cp:coreProperties>
</file>